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September 9, 2024</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333-271551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POST-EFFECTIVE AMENDMENT NO. 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ACT OF 1933</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r>
        <w:rPr>
          <w:rFonts w:ascii="Times New Roman" w:cs="Times New Roman" w:eastAsia="Times New Roman" w:hAnsi="Times New Roman"/>
          <w:sz w:val="21"/>
          <w:szCs w:val="21"/>
          <w:b w:val="1"/>
          <w:bCs w:val="1"/>
          <w:color w:val="auto"/>
        </w:rPr>
        <w:t>.</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84-2968594</w:t>
            </w:r>
          </w:p>
        </w:tc>
      </w:tr>
      <w:tr>
        <w:trPr>
          <w:trHeight w:val="198"/>
        </w:trPr>
        <w:tc>
          <w:tcPr>
            <w:tcW w:w="55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220" w:type="dxa"/>
            <w:vAlign w:val="bottom"/>
          </w:tcPr>
          <w:p>
            <w:pPr>
              <w:spacing w:after="0"/>
              <w:rPr>
                <w:sz w:val="17"/>
                <w:szCs w:val="17"/>
                <w:color w:val="auto"/>
              </w:rPr>
            </w:pPr>
          </w:p>
        </w:tc>
        <w:tc>
          <w:tcPr>
            <w:tcW w:w="55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Number)</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985 Industrial Road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 Carlos, CA 94070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(650) 817-9012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Susan Shinoff</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985 Industrial Road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 Carlos, CA 94070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(650) 817-9012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Colin Diamond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Will Burns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Paul Hastings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200 Park Avenue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10166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(212) 318-6000</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Approximate date of commencement of proposed sale to the public: </w:t>
      </w:r>
      <w:r>
        <w:rPr>
          <w:rFonts w:ascii="Times New Roman" w:cs="Times New Roman" w:eastAsia="Times New Roman" w:hAnsi="Times New Roman"/>
          <w:sz w:val="18"/>
          <w:szCs w:val="18"/>
          <w:color w:val="auto"/>
        </w:rPr>
        <w:t>From time to time after this registration statement becomes effective.</w:t>
      </w:r>
    </w:p>
    <w:p>
      <w:pPr>
        <w:spacing w:after="0" w:line="229"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700" w:type="dxa"/>
            <w:vAlign w:val="bottom"/>
          </w:tcPr>
          <w:p>
            <w:pPr>
              <w:jc w:val="center"/>
              <w:ind w:left="1170"/>
              <w:spacing w:after="0" w:line="181" w:lineRule="exact"/>
              <w:rPr>
                <w:sz w:val="20"/>
                <w:szCs w:val="20"/>
                <w:color w:val="auto"/>
              </w:rPr>
            </w:pPr>
            <w:r>
              <w:rPr>
                <w:rFonts w:ascii="MS PGothic" w:cs="MS PGothic" w:eastAsia="MS PGothic" w:hAnsi="MS PGothic"/>
                <w:sz w:val="18"/>
                <w:szCs w:val="18"/>
                <w:color w:val="auto"/>
                <w:w w:val="88"/>
              </w:rPr>
              <w:t>☐</w:t>
            </w:r>
          </w:p>
        </w:tc>
        <w:tc>
          <w:tcPr>
            <w:tcW w:w="4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Accelerated filer</w:t>
            </w:r>
          </w:p>
        </w:tc>
        <w:tc>
          <w:tcPr>
            <w:tcW w:w="2220" w:type="dxa"/>
            <w:vAlign w:val="bottom"/>
          </w:tcPr>
          <w:p>
            <w:pPr>
              <w:ind w:left="2020"/>
              <w:spacing w:after="0" w:line="207" w:lineRule="exact"/>
              <w:rPr>
                <w:sz w:val="20"/>
                <w:szCs w:val="20"/>
                <w:color w:val="auto"/>
              </w:rPr>
            </w:pPr>
            <w:r>
              <w:rPr>
                <w:rFonts w:ascii="Times New Roman" w:cs="Times New Roman" w:eastAsia="Times New Roman" w:hAnsi="Times New Roman"/>
                <w:sz w:val="18"/>
                <w:szCs w:val="18"/>
                <w:color w:val="auto"/>
                <w:w w:val="83"/>
              </w:rPr>
              <w:t> </w:t>
            </w:r>
            <w:r>
              <w:rPr>
                <w:rFonts w:ascii="MS PGothic" w:cs="MS PGothic" w:eastAsia="MS PGothic" w:hAnsi="MS PGothic"/>
                <w:sz w:val="18"/>
                <w:szCs w:val="18"/>
                <w:color w:val="auto"/>
                <w:w w:val="83"/>
              </w:rPr>
              <w:t>☐</w:t>
            </w: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700" w:type="dxa"/>
            <w:vAlign w:val="bottom"/>
          </w:tcPr>
          <w:p>
            <w:pPr>
              <w:jc w:val="center"/>
              <w:ind w:left="1170"/>
              <w:spacing w:after="0" w:line="207" w:lineRule="exact"/>
              <w:rPr>
                <w:sz w:val="20"/>
                <w:szCs w:val="20"/>
                <w:color w:val="auto"/>
              </w:rPr>
            </w:pPr>
            <w:r>
              <w:rPr>
                <w:rFonts w:ascii="Times New Roman" w:cs="Times New Roman" w:eastAsia="Times New Roman" w:hAnsi="Times New Roman"/>
                <w:sz w:val="18"/>
                <w:szCs w:val="18"/>
                <w:color w:val="auto"/>
                <w:w w:val="92"/>
              </w:rPr>
              <w:t> </w:t>
            </w:r>
            <w:r>
              <w:rPr>
                <w:rFonts w:ascii="MS PGothic" w:cs="MS PGothic" w:eastAsia="MS PGothic" w:hAnsi="MS PGothic"/>
                <w:sz w:val="18"/>
                <w:szCs w:val="18"/>
                <w:color w:val="auto"/>
                <w:w w:val="92"/>
              </w:rPr>
              <w:t>☒</w:t>
            </w:r>
          </w:p>
        </w:tc>
        <w:tc>
          <w:tcPr>
            <w:tcW w:w="4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2220" w:type="dxa"/>
            <w:vAlign w:val="bottom"/>
          </w:tcPr>
          <w:p>
            <w:pPr>
              <w:ind w:left="2020"/>
              <w:spacing w:after="0" w:line="207" w:lineRule="exact"/>
              <w:rPr>
                <w:sz w:val="20"/>
                <w:szCs w:val="20"/>
                <w:color w:val="auto"/>
              </w:rPr>
            </w:pPr>
            <w:r>
              <w:rPr>
                <w:rFonts w:ascii="Times New Roman" w:cs="Times New Roman" w:eastAsia="Times New Roman" w:hAnsi="Times New Roman"/>
                <w:sz w:val="18"/>
                <w:szCs w:val="18"/>
                <w:color w:val="auto"/>
                <w:w w:val="83"/>
              </w:rPr>
              <w:t> </w:t>
            </w:r>
            <w:r>
              <w:rPr>
                <w:rFonts w:ascii="MS PGothic" w:cs="MS PGothic" w:eastAsia="MS PGothic" w:hAnsi="MS PGothic"/>
                <w:sz w:val="18"/>
                <w:szCs w:val="18"/>
                <w:color w:val="auto"/>
                <w:w w:val="83"/>
              </w:rPr>
              <w:t>☒</w:t>
            </w:r>
          </w:p>
        </w:tc>
      </w:tr>
      <w:tr>
        <w:trPr>
          <w:trHeight w:val="303"/>
        </w:trPr>
        <w:tc>
          <w:tcPr>
            <w:tcW w:w="30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Emerging growth company</w:t>
            </w:r>
          </w:p>
        </w:tc>
        <w:tc>
          <w:tcPr>
            <w:tcW w:w="2220" w:type="dxa"/>
            <w:vAlign w:val="bottom"/>
          </w:tcPr>
          <w:p>
            <w:pPr>
              <w:ind w:left="2020"/>
              <w:spacing w:after="0" w:line="207" w:lineRule="exact"/>
              <w:rPr>
                <w:sz w:val="20"/>
                <w:szCs w:val="20"/>
                <w:color w:val="auto"/>
              </w:rPr>
            </w:pPr>
            <w:r>
              <w:rPr>
                <w:rFonts w:ascii="Times New Roman" w:cs="Times New Roman" w:eastAsia="Times New Roman" w:hAnsi="Times New Roman"/>
                <w:sz w:val="18"/>
                <w:szCs w:val="18"/>
                <w:color w:val="auto"/>
                <w:w w:val="83"/>
              </w:rPr>
              <w:t> </w:t>
            </w:r>
            <w:r>
              <w:rPr>
                <w:rFonts w:ascii="MS PGothic" w:cs="MS PGothic" w:eastAsia="MS PGothic" w:hAnsi="MS PGothic"/>
                <w:sz w:val="18"/>
                <w:szCs w:val="18"/>
                <w:color w:val="auto"/>
                <w:w w:val="83"/>
              </w:rPr>
              <w:t>☒</w:t>
            </w:r>
          </w:p>
        </w:tc>
      </w:tr>
    </w:tbl>
    <w:p>
      <w:pPr>
        <w:spacing w:after="0" w:line="16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7(a)(2)(B) of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DEREGISTRATION OF SECURITIES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Presto Automation Inc., a Delaware corporation (the “Company”), is filing this Post-Effective Amendment No. 1 (this “Post-Effective Amendment”) to the Company’s Registration Statement on Form S-1 (No. 333- 271551), filed with the Securities and Exchange Commission (the “SEC”) on May 1, 2023 (the “Registration Statement”), to deregister any and all securities of the Company registered but unsold or otherwise unissued under the Registration Statement as of the date hereof.</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disclosed in the Company’s Current Report on Form 8-K filed with the SEC on August 7, 2023, the Company received a Staff determination letter from The Nasdaq Stock Market LLC (“Nasdaq”) informing the Company that its shares of common stock, par value $0.0001 per share (the “Common Stock”), and warrants (the “Warrants”) would be suspended at the open of business on August 8, 2024 and that Nasdaq would file a Form 25-NSE with the Securities and Exchange Commission (the “SEC”) removing the Company’s securities from listing and registration on Nasdaq. The Common Stock and Warrants were suspended on August 8, 2024 and Nasdaq has informed the Company that it intends to file such Form 25 in the coming days.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a result of its continuing liquidity challenges and in order to lower its expenditures, the Company is terminating all offerings of securities pursuant to the Registration Statement. In accordance with an undertaking made by the Company in the Registration Statement to remove from registration, by means of a post-effective amendment, any of the securities that remain unsold at the termination of the offering, effective upon filing of this Post-Effective Amendment, the Company hereby removes from registration any and all of such securities of the Company registered but unsold under the Registration Statement, if any, as of the date of this Post-Effective Amendment. The Registration Statement is hereby amended, as appropriate, to reflect the deregistration of such securities, and the Company hereby terminates the effectiveness of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to be signed on its behalf by the undersigned, thereunto duly authorized, in the City of San Carlos, State of California, on September 9, 2024.</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PRESTO AUTOMATION INC.</w:t>
      </w:r>
    </w:p>
    <w:p>
      <w:pPr>
        <w:spacing w:after="0" w:line="225"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8"/>
          <w:szCs w:val="18"/>
          <w:color w:val="auto"/>
        </w:rPr>
        <w:t>By:</w:t>
        <w:tab/>
        <w:t>/s/ Guillaume Lefevre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Guillaume Lefevre</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Interim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2024-09-09T08:37:51Z</dcterms:created>
  <dcterms:modified xsi:type="dcterms:W3CDTF">2024-09-09T08:37:51Z</dcterms:modified>
</cp:coreProperties>
</file>